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917" w:rsidRDefault="00141153" w:rsidP="00874EA8">
      <w:pPr>
        <w:pStyle w:val="Heading1"/>
        <w:jc w:val="center"/>
      </w:pPr>
      <w:r>
        <w:t>My personal view on Sailfish Spearfish ratios  April 2009</w:t>
      </w:r>
    </w:p>
    <w:p w:rsidR="00141153" w:rsidRDefault="00874EA8" w:rsidP="00874EA8">
      <w:pPr>
        <w:jc w:val="center"/>
      </w:pPr>
      <w:r>
        <w:t>David Die</w:t>
      </w:r>
    </w:p>
    <w:p w:rsidR="00141153" w:rsidRDefault="00141153" w:rsidP="00141153">
      <w:r>
        <w:t>Ideally we should develop 5 degree by 5 degree grid, season, and decade specific ratios for sailfish spearfish based on scientific observation of counts of spearfish and sailfish.</w:t>
      </w:r>
    </w:p>
    <w:p w:rsidR="0043491D" w:rsidRDefault="0043491D" w:rsidP="0043491D">
      <w:pPr>
        <w:pStyle w:val="Subtitle"/>
      </w:pPr>
      <w:r>
        <w:t xml:space="preserve">Data available now </w:t>
      </w:r>
    </w:p>
    <w:p w:rsidR="00141153" w:rsidRDefault="00141153" w:rsidP="00141153">
      <w:r>
        <w:t>At the May 2008 meeting of the ICCAT BWG we compiled the following</w:t>
      </w:r>
      <w:r w:rsidR="00EB564B">
        <w:t xml:space="preserve"> (SAI_SPF_ratio.XLS)</w:t>
      </w:r>
      <w:r>
        <w:t>:</w:t>
      </w:r>
    </w:p>
    <w:p w:rsidR="00141153" w:rsidRDefault="00141153" w:rsidP="00141153">
      <w:pPr>
        <w:pStyle w:val="ListParagraph"/>
        <w:numPr>
          <w:ilvl w:val="0"/>
          <w:numId w:val="1"/>
        </w:numPr>
      </w:pPr>
      <w:r>
        <w:t xml:space="preserve">5 by 5 grid ratios aggregated for all years and all seasons from observer data from the longline fleets of Japan, Brazil and Venezuela </w:t>
      </w:r>
    </w:p>
    <w:p w:rsidR="00141153" w:rsidRDefault="00141153" w:rsidP="00141153">
      <w:pPr>
        <w:pStyle w:val="ListParagraph"/>
        <w:numPr>
          <w:ilvl w:val="0"/>
          <w:numId w:val="1"/>
        </w:numPr>
      </w:pPr>
      <w:r>
        <w:t xml:space="preserve">US statistical area ratios for the US longline fleet </w:t>
      </w:r>
    </w:p>
    <w:p w:rsidR="00141153" w:rsidRDefault="00141153" w:rsidP="00141153">
      <w:r>
        <w:t>I have not received new data to improve on such compilation, although I know the US is preparing their ratios so that they are compatible with the 5 by 5 grid.</w:t>
      </w:r>
    </w:p>
    <w:p w:rsidR="00141153" w:rsidRDefault="00141153" w:rsidP="00141153">
      <w:r>
        <w:t>The ratios in SAI_SPF_ratio.XLS do not extend to the entire ocean, there are many gaps, and specially in latitudes greater than 25 degrees, in both hemispheres.</w:t>
      </w:r>
    </w:p>
    <w:p w:rsidR="0043491D" w:rsidRDefault="0043491D" w:rsidP="0043491D">
      <w:pPr>
        <w:pStyle w:val="Subtitle"/>
      </w:pPr>
      <w:r>
        <w:t>Ways to proceed</w:t>
      </w:r>
    </w:p>
    <w:p w:rsidR="00141153" w:rsidRDefault="00141153" w:rsidP="00141153">
      <w:r>
        <w:t>These are the alternative ways we could proceed:</w:t>
      </w:r>
    </w:p>
    <w:p w:rsidR="00141153" w:rsidRDefault="00840481" w:rsidP="00840481">
      <w:pPr>
        <w:pStyle w:val="ListParagraph"/>
        <w:numPr>
          <w:ilvl w:val="0"/>
          <w:numId w:val="2"/>
        </w:numPr>
      </w:pPr>
      <w:r>
        <w:t>U</w:t>
      </w:r>
      <w:r w:rsidR="00141153">
        <w:t>se the ratios in SAI_SPF_ratio.XLS for all grids for which there is information</w:t>
      </w:r>
    </w:p>
    <w:p w:rsidR="00840481" w:rsidRDefault="00840481" w:rsidP="00840481">
      <w:pPr>
        <w:pStyle w:val="ListParagraph"/>
        <w:numPr>
          <w:ilvl w:val="0"/>
          <w:numId w:val="2"/>
        </w:numPr>
      </w:pPr>
      <w:r>
        <w:t>For grids for which there are no ratios in  SAI_SPF_ratio.XLS, I see several options:</w:t>
      </w:r>
    </w:p>
    <w:p w:rsidR="00840481" w:rsidRDefault="00840481" w:rsidP="00840481">
      <w:pPr>
        <w:pStyle w:val="ListParagraph"/>
        <w:numPr>
          <w:ilvl w:val="1"/>
          <w:numId w:val="2"/>
        </w:numPr>
      </w:pPr>
      <w:r>
        <w:t>Use a basin wide ratio obtained from all counts compiled in Madrid (SAI/(SAI+SPF)) = 0.55</w:t>
      </w:r>
    </w:p>
    <w:p w:rsidR="00EB3C50" w:rsidRDefault="00EB3C50" w:rsidP="00840481">
      <w:pPr>
        <w:pStyle w:val="ListParagraph"/>
        <w:numPr>
          <w:ilvl w:val="1"/>
          <w:numId w:val="2"/>
        </w:numPr>
      </w:pPr>
      <w:r>
        <w:t>Alternatively use ICCAT quadrant specific ratios:</w:t>
      </w:r>
    </w:p>
    <w:tbl>
      <w:tblPr>
        <w:tblW w:w="7198" w:type="dxa"/>
        <w:tblInd w:w="100" w:type="dxa"/>
        <w:tblLook w:val="04A0"/>
      </w:tblPr>
      <w:tblGrid>
        <w:gridCol w:w="5278"/>
        <w:gridCol w:w="960"/>
        <w:gridCol w:w="960"/>
      </w:tblGrid>
      <w:tr w:rsidR="00991305" w:rsidRPr="00336370" w:rsidTr="00991305">
        <w:trPr>
          <w:trHeight w:val="288"/>
        </w:trPr>
        <w:tc>
          <w:tcPr>
            <w:tcW w:w="5278" w:type="dxa"/>
            <w:tcBorders>
              <w:top w:val="nil"/>
              <w:left w:val="nil"/>
              <w:bottom w:val="nil"/>
              <w:right w:val="nil"/>
            </w:tcBorders>
            <w:shd w:val="clear" w:color="auto" w:fill="auto"/>
            <w:noWrap/>
            <w:vAlign w:val="bottom"/>
            <w:hideMark/>
          </w:tcPr>
          <w:tbl>
            <w:tblPr>
              <w:tblW w:w="3010" w:type="dxa"/>
              <w:jc w:val="center"/>
              <w:tblInd w:w="2052" w:type="dxa"/>
              <w:tblLook w:val="0000"/>
            </w:tblPr>
            <w:tblGrid>
              <w:gridCol w:w="1040"/>
              <w:gridCol w:w="932"/>
              <w:gridCol w:w="1038"/>
            </w:tblGrid>
            <w:tr w:rsidR="00991305" w:rsidRPr="00991305" w:rsidTr="00991305">
              <w:trPr>
                <w:trHeight w:val="290"/>
                <w:jc w:val="center"/>
              </w:trPr>
              <w:tc>
                <w:tcPr>
                  <w:tcW w:w="1040"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quadrant</w:t>
                  </w:r>
                </w:p>
              </w:tc>
              <w:tc>
                <w:tcPr>
                  <w:tcW w:w="932"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p>
              </w:tc>
              <w:tc>
                <w:tcPr>
                  <w:tcW w:w="1038"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SAI/Total</w:t>
                  </w:r>
                </w:p>
              </w:tc>
            </w:tr>
            <w:tr w:rsidR="00991305" w:rsidRPr="00991305" w:rsidTr="00991305">
              <w:trPr>
                <w:trHeight w:val="290"/>
                <w:jc w:val="center"/>
              </w:trPr>
              <w:tc>
                <w:tcPr>
                  <w:tcW w:w="1040"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1</w:t>
                  </w:r>
                </w:p>
              </w:tc>
              <w:tc>
                <w:tcPr>
                  <w:tcW w:w="932"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NE</w:t>
                  </w:r>
                </w:p>
              </w:tc>
              <w:tc>
                <w:tcPr>
                  <w:tcW w:w="1038"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0.99</w:t>
                  </w:r>
                </w:p>
              </w:tc>
            </w:tr>
            <w:tr w:rsidR="00991305" w:rsidRPr="00991305" w:rsidTr="00991305">
              <w:trPr>
                <w:trHeight w:val="290"/>
                <w:jc w:val="center"/>
              </w:trPr>
              <w:tc>
                <w:tcPr>
                  <w:tcW w:w="1040"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2</w:t>
                  </w:r>
                </w:p>
              </w:tc>
              <w:tc>
                <w:tcPr>
                  <w:tcW w:w="932"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SE</w:t>
                  </w:r>
                </w:p>
              </w:tc>
              <w:tc>
                <w:tcPr>
                  <w:tcW w:w="1038"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0.72</w:t>
                  </w:r>
                </w:p>
              </w:tc>
            </w:tr>
            <w:tr w:rsidR="00991305" w:rsidRPr="00991305" w:rsidTr="00991305">
              <w:trPr>
                <w:trHeight w:val="290"/>
                <w:jc w:val="center"/>
              </w:trPr>
              <w:tc>
                <w:tcPr>
                  <w:tcW w:w="1040"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3</w:t>
                  </w:r>
                </w:p>
              </w:tc>
              <w:tc>
                <w:tcPr>
                  <w:tcW w:w="932"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SW</w:t>
                  </w:r>
                </w:p>
              </w:tc>
              <w:tc>
                <w:tcPr>
                  <w:tcW w:w="1038"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0.62</w:t>
                  </w:r>
                </w:p>
              </w:tc>
            </w:tr>
            <w:tr w:rsidR="00991305" w:rsidRPr="00991305" w:rsidTr="00991305">
              <w:trPr>
                <w:trHeight w:val="290"/>
                <w:jc w:val="center"/>
              </w:trPr>
              <w:tc>
                <w:tcPr>
                  <w:tcW w:w="1040"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4</w:t>
                  </w:r>
                </w:p>
              </w:tc>
              <w:tc>
                <w:tcPr>
                  <w:tcW w:w="932" w:type="dxa"/>
                  <w:tcBorders>
                    <w:top w:val="nil"/>
                    <w:left w:val="nil"/>
                    <w:bottom w:val="nil"/>
                    <w:right w:val="nil"/>
                  </w:tcBorders>
                </w:tcPr>
                <w:p w:rsidR="00991305" w:rsidRPr="00991305" w:rsidRDefault="00991305" w:rsidP="00991305">
                  <w:pPr>
                    <w:autoSpaceDE w:val="0"/>
                    <w:autoSpaceDN w:val="0"/>
                    <w:adjustRightInd w:val="0"/>
                    <w:spacing w:after="0" w:line="240" w:lineRule="auto"/>
                    <w:rPr>
                      <w:rFonts w:ascii="Calibri" w:hAnsi="Calibri" w:cs="Calibri"/>
                      <w:color w:val="000000"/>
                    </w:rPr>
                  </w:pPr>
                  <w:r w:rsidRPr="00991305">
                    <w:rPr>
                      <w:rFonts w:ascii="Calibri" w:hAnsi="Calibri" w:cs="Calibri"/>
                      <w:color w:val="000000"/>
                    </w:rPr>
                    <w:t>NW</w:t>
                  </w:r>
                </w:p>
              </w:tc>
              <w:tc>
                <w:tcPr>
                  <w:tcW w:w="1038" w:type="dxa"/>
                  <w:tcBorders>
                    <w:top w:val="nil"/>
                    <w:left w:val="nil"/>
                    <w:bottom w:val="nil"/>
                    <w:right w:val="nil"/>
                  </w:tcBorders>
                </w:tcPr>
                <w:p w:rsidR="00991305" w:rsidRPr="00991305" w:rsidRDefault="00991305" w:rsidP="00991305">
                  <w:pPr>
                    <w:autoSpaceDE w:val="0"/>
                    <w:autoSpaceDN w:val="0"/>
                    <w:adjustRightInd w:val="0"/>
                    <w:spacing w:after="0" w:line="240" w:lineRule="auto"/>
                    <w:jc w:val="right"/>
                    <w:rPr>
                      <w:rFonts w:ascii="Calibri" w:hAnsi="Calibri" w:cs="Calibri"/>
                      <w:color w:val="000000"/>
                    </w:rPr>
                  </w:pPr>
                  <w:r w:rsidRPr="00991305">
                    <w:rPr>
                      <w:rFonts w:ascii="Calibri" w:hAnsi="Calibri" w:cs="Calibri"/>
                      <w:color w:val="000000"/>
                    </w:rPr>
                    <w:t>0.52</w:t>
                  </w:r>
                  <w:r>
                    <w:rPr>
                      <w:rFonts w:ascii="Calibri" w:hAnsi="Calibri" w:cs="Calibri"/>
                      <w:color w:val="000000"/>
                    </w:rPr>
                    <w:t xml:space="preserve"> </w:t>
                  </w:r>
                </w:p>
              </w:tc>
            </w:tr>
            <w:tr w:rsidR="00A24745" w:rsidRPr="00991305" w:rsidTr="00991305">
              <w:trPr>
                <w:trHeight w:val="290"/>
                <w:jc w:val="center"/>
              </w:trPr>
              <w:tc>
                <w:tcPr>
                  <w:tcW w:w="1040" w:type="dxa"/>
                  <w:tcBorders>
                    <w:top w:val="nil"/>
                    <w:left w:val="nil"/>
                    <w:bottom w:val="nil"/>
                    <w:right w:val="nil"/>
                  </w:tcBorders>
                </w:tcPr>
                <w:p w:rsidR="00A24745" w:rsidRPr="00A24745" w:rsidRDefault="00A24745" w:rsidP="00A24745">
                  <w:pPr>
                    <w:autoSpaceDE w:val="0"/>
                    <w:autoSpaceDN w:val="0"/>
                    <w:adjustRightInd w:val="0"/>
                    <w:spacing w:after="0" w:line="240" w:lineRule="auto"/>
                    <w:rPr>
                      <w:rFonts w:ascii="Calibri" w:hAnsi="Calibri" w:cs="Calibri"/>
                      <w:color w:val="000000"/>
                    </w:rPr>
                  </w:pPr>
                </w:p>
              </w:tc>
              <w:tc>
                <w:tcPr>
                  <w:tcW w:w="932" w:type="dxa"/>
                  <w:tcBorders>
                    <w:top w:val="nil"/>
                    <w:left w:val="nil"/>
                    <w:bottom w:val="nil"/>
                    <w:right w:val="nil"/>
                  </w:tcBorders>
                </w:tcPr>
                <w:p w:rsidR="00A24745" w:rsidRPr="00991305" w:rsidRDefault="00A24745" w:rsidP="00991305">
                  <w:pPr>
                    <w:autoSpaceDE w:val="0"/>
                    <w:autoSpaceDN w:val="0"/>
                    <w:adjustRightInd w:val="0"/>
                    <w:spacing w:after="0" w:line="240" w:lineRule="auto"/>
                    <w:rPr>
                      <w:rFonts w:ascii="Calibri" w:hAnsi="Calibri" w:cs="Calibri"/>
                      <w:color w:val="000000"/>
                    </w:rPr>
                  </w:pPr>
                </w:p>
              </w:tc>
              <w:tc>
                <w:tcPr>
                  <w:tcW w:w="1038" w:type="dxa"/>
                  <w:tcBorders>
                    <w:top w:val="nil"/>
                    <w:left w:val="nil"/>
                    <w:bottom w:val="nil"/>
                    <w:right w:val="nil"/>
                  </w:tcBorders>
                </w:tcPr>
                <w:p w:rsidR="00A24745" w:rsidRPr="00991305" w:rsidRDefault="00A24745" w:rsidP="00991305">
                  <w:pPr>
                    <w:autoSpaceDE w:val="0"/>
                    <w:autoSpaceDN w:val="0"/>
                    <w:adjustRightInd w:val="0"/>
                    <w:spacing w:after="0" w:line="240" w:lineRule="auto"/>
                    <w:jc w:val="right"/>
                    <w:rPr>
                      <w:rFonts w:ascii="Calibri" w:hAnsi="Calibri" w:cs="Calibri"/>
                      <w:color w:val="000000"/>
                    </w:rPr>
                  </w:pPr>
                </w:p>
              </w:tc>
            </w:tr>
          </w:tbl>
          <w:p w:rsidR="00991305" w:rsidRPr="00336370" w:rsidRDefault="00991305" w:rsidP="00347AF6">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991305" w:rsidRPr="00336370" w:rsidRDefault="00991305" w:rsidP="00347AF6">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991305" w:rsidRPr="00336370" w:rsidRDefault="00991305" w:rsidP="00347AF6">
            <w:pPr>
              <w:spacing w:after="0" w:line="240" w:lineRule="auto"/>
              <w:rPr>
                <w:rFonts w:ascii="Calibri" w:eastAsia="Times New Roman" w:hAnsi="Calibri" w:cs="Times New Roman"/>
                <w:color w:val="000000"/>
              </w:rPr>
            </w:pPr>
          </w:p>
        </w:tc>
      </w:tr>
    </w:tbl>
    <w:p w:rsidR="00A24745" w:rsidRDefault="00A24745" w:rsidP="00A24745">
      <w:pPr>
        <w:ind w:left="720"/>
      </w:pPr>
      <w:r>
        <w:t xml:space="preserve"> </w:t>
      </w:r>
      <w:r>
        <w:tab/>
      </w:r>
      <w:r w:rsidR="00991305">
        <w:t xml:space="preserve">Note that quadrant 4 also includes </w:t>
      </w:r>
      <w:r>
        <w:t>all the</w:t>
      </w:r>
      <w:r w:rsidR="00991305">
        <w:t xml:space="preserve"> US longline data.</w:t>
      </w:r>
    </w:p>
    <w:p w:rsidR="007C04E1" w:rsidRDefault="0043491D" w:rsidP="0043491D">
      <w:pPr>
        <w:pStyle w:val="ListParagraph"/>
        <w:numPr>
          <w:ilvl w:val="1"/>
          <w:numId w:val="2"/>
        </w:numPr>
      </w:pPr>
      <w:r>
        <w:t>Alternatively, u</w:t>
      </w:r>
      <w:r w:rsidR="00A24745">
        <w:t>se stock specific ratios</w:t>
      </w:r>
      <w:r w:rsidR="007C04E1">
        <w:t>, I calculated these by including only the US data that I knew for sure corresponded to the western stock given the NMFS areas (although these represent the majority of observations – 90%).  Estimated ratios are 0.58 East and 0.54 West.</w:t>
      </w:r>
    </w:p>
    <w:p w:rsidR="00301962" w:rsidRDefault="00301962" w:rsidP="0043491D">
      <w:pPr>
        <w:pStyle w:val="ListParagraph"/>
        <w:numPr>
          <w:ilvl w:val="1"/>
          <w:numId w:val="2"/>
        </w:numPr>
      </w:pPr>
      <w:r>
        <w:t>Conduct a geostatistical analysis of the data to calculate interpolated ratios for all grids</w:t>
      </w:r>
    </w:p>
    <w:p w:rsidR="0043491D" w:rsidRDefault="0043491D" w:rsidP="0043491D">
      <w:pPr>
        <w:pStyle w:val="ListParagraph"/>
        <w:ind w:left="1440"/>
      </w:pPr>
    </w:p>
    <w:p w:rsidR="0043491D" w:rsidRDefault="0043491D" w:rsidP="0043491D">
      <w:pPr>
        <w:pStyle w:val="Subtitle"/>
      </w:pPr>
      <w:r>
        <w:lastRenderedPageBreak/>
        <w:t>Observations</w:t>
      </w:r>
    </w:p>
    <w:p w:rsidR="0043491D" w:rsidRDefault="0043491D" w:rsidP="0043491D">
      <w:pPr>
        <w:pStyle w:val="ListParagraph"/>
        <w:ind w:left="0"/>
      </w:pPr>
      <w:r>
        <w:t xml:space="preserve">As mentioned above there are many grids for which there are no observations. Furthermore for those grids for which there are observations the number of observations differs substantially (Figure 1).  </w:t>
      </w:r>
    </w:p>
    <w:p w:rsidR="0043491D" w:rsidRDefault="0043491D" w:rsidP="0043491D">
      <w:pPr>
        <w:pStyle w:val="ListParagraph"/>
        <w:ind w:left="0"/>
      </w:pPr>
    </w:p>
    <w:p w:rsidR="0043491D" w:rsidRDefault="0043491D" w:rsidP="0043491D">
      <w:pPr>
        <w:pStyle w:val="ListParagraph"/>
        <w:ind w:left="0"/>
      </w:pPr>
    </w:p>
    <w:p w:rsidR="0043491D" w:rsidRPr="0043491D" w:rsidRDefault="0043491D" w:rsidP="0043491D">
      <w:pPr>
        <w:pStyle w:val="ListParagraph"/>
        <w:ind w:left="0"/>
        <w:rPr>
          <w:i/>
        </w:rPr>
      </w:pPr>
      <w:r w:rsidRPr="0043491D">
        <w:rPr>
          <w:i/>
          <w:noProof/>
        </w:rPr>
        <w:drawing>
          <wp:anchor distT="0" distB="0" distL="114300" distR="114300" simplePos="0" relativeHeight="251658240" behindDoc="0" locked="0" layoutInCell="1" allowOverlap="1">
            <wp:simplePos x="0" y="0"/>
            <wp:positionH relativeFrom="column">
              <wp:posOffset>274320</wp:posOffset>
            </wp:positionH>
            <wp:positionV relativeFrom="paragraph">
              <wp:posOffset>-103505</wp:posOffset>
            </wp:positionV>
            <wp:extent cx="2707640" cy="1626870"/>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707640" cy="1626870"/>
                    </a:xfrm>
                    <a:prstGeom prst="rect">
                      <a:avLst/>
                    </a:prstGeom>
                    <a:noFill/>
                    <a:ln w="9525">
                      <a:noFill/>
                      <a:miter lim="800000"/>
                      <a:headEnd/>
                      <a:tailEnd/>
                    </a:ln>
                  </pic:spPr>
                </pic:pic>
              </a:graphicData>
            </a:graphic>
          </wp:anchor>
        </w:drawing>
      </w:r>
      <w:r w:rsidRPr="0043491D">
        <w:rPr>
          <w:i/>
        </w:rPr>
        <w:t>Figure 1:  Cumulative proportion of observations as a function of grid number for grids ordered from the one with the largest number of observations to the one with the smallest.</w:t>
      </w:r>
    </w:p>
    <w:p w:rsidR="007C04E1" w:rsidRDefault="007C04E1" w:rsidP="007C04E1">
      <w:pPr>
        <w:ind w:left="360"/>
      </w:pPr>
      <w:r>
        <w:t xml:space="preserve"> </w:t>
      </w:r>
    </w:p>
    <w:p w:rsidR="00141153" w:rsidRDefault="00141153" w:rsidP="00141153"/>
    <w:p w:rsidR="00141153" w:rsidRDefault="00141153" w:rsidP="00141153"/>
    <w:p w:rsidR="00301962" w:rsidRDefault="0043491D" w:rsidP="00301962">
      <w:r>
        <w:t xml:space="preserve">About 30% of the observations come from only two grids fished by the Venezuelan </w:t>
      </w:r>
      <w:r w:rsidR="00FA7438">
        <w:t xml:space="preserve">longline </w:t>
      </w:r>
      <w:r>
        <w:t xml:space="preserve">fleet and 50% of the observations correspond to 7 grids out of the total 166 grids that have observations. </w:t>
      </w:r>
      <w:r w:rsidR="00FA7438">
        <w:t xml:space="preserve">Five of these grids correspond to data mainly from Venezuelan longline and 2 mainly from Brazil longline. </w:t>
      </w:r>
      <w:r>
        <w:t>Only 96 grids have at least 100 observations to calculate the ratio.</w:t>
      </w:r>
      <w:r w:rsidR="00301962">
        <w:t xml:space="preserve"> These numbers suggest that some of the aggregated ratios that I suggest above (by quadrant, by stock) are highly influenced by the numbers of observations in a few grids. If you assume that ratios are only “accurate” when you have at least 100 observations per grid and furthermore you calculate the ratio by stock as the average of these “accurate” ratios rather than by summing all observations made within the area of the stocks you get a </w:t>
      </w:r>
      <w:r w:rsidR="00F17CB5">
        <w:t xml:space="preserve">slightly </w:t>
      </w:r>
      <w:r w:rsidR="00301962">
        <w:t>different answer</w:t>
      </w:r>
    </w:p>
    <w:tbl>
      <w:tblPr>
        <w:tblStyle w:val="TableGrid"/>
        <w:tblpPr w:leftFromText="180" w:rightFromText="180" w:vertAnchor="text" w:tblpY="1"/>
        <w:tblOverlap w:val="never"/>
        <w:tblW w:w="0" w:type="auto"/>
        <w:tblLook w:val="04A0"/>
      </w:tblPr>
      <w:tblGrid>
        <w:gridCol w:w="1308"/>
        <w:gridCol w:w="1560"/>
        <w:gridCol w:w="1680"/>
      </w:tblGrid>
      <w:tr w:rsidR="00301962" w:rsidTr="00F17CB5">
        <w:tc>
          <w:tcPr>
            <w:tcW w:w="1308" w:type="dxa"/>
          </w:tcPr>
          <w:p w:rsidR="00301962" w:rsidRDefault="00301962" w:rsidP="00F17CB5">
            <w:r>
              <w:t>Stock</w:t>
            </w:r>
          </w:p>
        </w:tc>
        <w:tc>
          <w:tcPr>
            <w:tcW w:w="1560" w:type="dxa"/>
          </w:tcPr>
          <w:p w:rsidR="00301962" w:rsidRDefault="00301962" w:rsidP="00F17CB5">
            <w:r>
              <w:t>From ratio of all counts</w:t>
            </w:r>
          </w:p>
        </w:tc>
        <w:tc>
          <w:tcPr>
            <w:tcW w:w="1680" w:type="dxa"/>
          </w:tcPr>
          <w:p w:rsidR="00301962" w:rsidRDefault="00301962" w:rsidP="00F17CB5">
            <w:r>
              <w:t>From average of ratios with counts &gt; 100</w:t>
            </w:r>
          </w:p>
        </w:tc>
      </w:tr>
      <w:tr w:rsidR="00301962" w:rsidTr="00F17CB5">
        <w:tc>
          <w:tcPr>
            <w:tcW w:w="1308" w:type="dxa"/>
          </w:tcPr>
          <w:p w:rsidR="00301962" w:rsidRDefault="00301962" w:rsidP="00F17CB5">
            <w:r>
              <w:t>East</w:t>
            </w:r>
          </w:p>
        </w:tc>
        <w:tc>
          <w:tcPr>
            <w:tcW w:w="1560" w:type="dxa"/>
          </w:tcPr>
          <w:p w:rsidR="00301962" w:rsidRDefault="00F17CB5" w:rsidP="00F17CB5">
            <w:r>
              <w:t>0.58</w:t>
            </w:r>
          </w:p>
        </w:tc>
        <w:tc>
          <w:tcPr>
            <w:tcW w:w="1680" w:type="dxa"/>
          </w:tcPr>
          <w:p w:rsidR="00301962" w:rsidRDefault="00F17CB5" w:rsidP="00F17CB5">
            <w:r>
              <w:t>0.53</w:t>
            </w:r>
          </w:p>
        </w:tc>
      </w:tr>
      <w:tr w:rsidR="00301962" w:rsidTr="00F17CB5">
        <w:tc>
          <w:tcPr>
            <w:tcW w:w="1308" w:type="dxa"/>
          </w:tcPr>
          <w:p w:rsidR="00301962" w:rsidRDefault="00301962" w:rsidP="00F17CB5">
            <w:r>
              <w:t>West</w:t>
            </w:r>
          </w:p>
        </w:tc>
        <w:tc>
          <w:tcPr>
            <w:tcW w:w="1560" w:type="dxa"/>
          </w:tcPr>
          <w:p w:rsidR="00301962" w:rsidRDefault="00F17CB5" w:rsidP="00F17CB5">
            <w:r>
              <w:t>0.54</w:t>
            </w:r>
          </w:p>
        </w:tc>
        <w:tc>
          <w:tcPr>
            <w:tcW w:w="1680" w:type="dxa"/>
          </w:tcPr>
          <w:p w:rsidR="00301962" w:rsidRDefault="00F17CB5" w:rsidP="00F17CB5">
            <w:r>
              <w:t>0.46</w:t>
            </w:r>
          </w:p>
        </w:tc>
      </w:tr>
    </w:tbl>
    <w:p w:rsidR="00301962" w:rsidRDefault="00F17CB5" w:rsidP="00301962">
      <w:r>
        <w:t>Table 1: Proportion of sailfish by stock calculated in two different ways</w:t>
      </w:r>
    </w:p>
    <w:p w:rsidR="00F17CB5" w:rsidRDefault="00F17CB5" w:rsidP="00301962"/>
    <w:p w:rsidR="00301962" w:rsidRDefault="00301962" w:rsidP="00301962"/>
    <w:p w:rsidR="00FA7438" w:rsidRDefault="00FA7438" w:rsidP="00141153">
      <w:r>
        <w:t>The proportion of sailfish per grid has a wide range of values from 0 to 1.0. Although more of the grids with less than 100 observations have extreme proportions (either 0 or 1) there are a wide range of proportions for these grids as well (Figure 2).</w:t>
      </w:r>
    </w:p>
    <w:p w:rsidR="00FA7438" w:rsidRDefault="00FA7438" w:rsidP="00141153">
      <w:r>
        <w:t xml:space="preserve"> </w:t>
      </w:r>
    </w:p>
    <w:p w:rsidR="00FA7438" w:rsidRDefault="00FA7438" w:rsidP="00141153">
      <w:r>
        <w:rPr>
          <w:noProof/>
        </w:rPr>
        <w:drawing>
          <wp:anchor distT="0" distB="0" distL="114300" distR="114300" simplePos="0" relativeHeight="251659264" behindDoc="0" locked="0" layoutInCell="1" allowOverlap="1">
            <wp:simplePos x="0" y="0"/>
            <wp:positionH relativeFrom="column">
              <wp:posOffset>3810</wp:posOffset>
            </wp:positionH>
            <wp:positionV relativeFrom="paragraph">
              <wp:posOffset>-123825</wp:posOffset>
            </wp:positionV>
            <wp:extent cx="2936240" cy="1764030"/>
            <wp:effectExtent l="1905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936240" cy="1764030"/>
                    </a:xfrm>
                    <a:prstGeom prst="rect">
                      <a:avLst/>
                    </a:prstGeom>
                    <a:noFill/>
                    <a:ln w="9525">
                      <a:noFill/>
                      <a:miter lim="800000"/>
                      <a:headEnd/>
                      <a:tailEnd/>
                    </a:ln>
                  </pic:spPr>
                </pic:pic>
              </a:graphicData>
            </a:graphic>
          </wp:anchor>
        </w:drawing>
      </w:r>
      <w:r>
        <w:t>Figure 2:  Number of grids for a given proportion of sailfish per grid.  Bar colors correspond to well sampled grids (with more than 100 observations) and poorly sample grids (less than 100 observations).</w:t>
      </w:r>
    </w:p>
    <w:p w:rsidR="00947D40" w:rsidRDefault="00947D40" w:rsidP="00141153"/>
    <w:p w:rsidR="00141153" w:rsidRDefault="00141153" w:rsidP="00141153">
      <w:r>
        <w:t xml:space="preserve"> </w:t>
      </w:r>
    </w:p>
    <w:p w:rsidR="00301962" w:rsidRDefault="00301962" w:rsidP="00141153">
      <w:r>
        <w:t xml:space="preserve">I don’t believe there is a single best way to use the present data available to split the catch, mainly because the data is insufficient for many grids.  I suggest that each fleet should consider how to best use the data available to split the catches from their fleet. They may consider </w:t>
      </w:r>
      <w:r w:rsidR="00F17CB5">
        <w:t xml:space="preserve">to </w:t>
      </w:r>
      <w:r>
        <w:t>use some of the alternativ</w:t>
      </w:r>
      <w:r w:rsidR="00F17CB5">
        <w:t>es I suggest above or use other methods</w:t>
      </w:r>
      <w:r>
        <w:t>.</w:t>
      </w:r>
    </w:p>
    <w:p w:rsidR="00301962" w:rsidRDefault="00301962" w:rsidP="00141153"/>
    <w:p w:rsidR="00141153" w:rsidRDefault="00141153" w:rsidP="00141153"/>
    <w:p w:rsidR="00141153" w:rsidRPr="00141153" w:rsidRDefault="00141153" w:rsidP="00141153">
      <w:r>
        <w:t xml:space="preserve"> </w:t>
      </w:r>
    </w:p>
    <w:sectPr w:rsidR="00141153" w:rsidRPr="00141153" w:rsidSect="00697917">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38B5" w:rsidRDefault="000F38B5" w:rsidP="00874EA8">
      <w:pPr>
        <w:spacing w:after="0" w:line="240" w:lineRule="auto"/>
      </w:pPr>
      <w:r>
        <w:separator/>
      </w:r>
    </w:p>
  </w:endnote>
  <w:endnote w:type="continuationSeparator" w:id="1">
    <w:p w:rsidR="000F38B5" w:rsidRDefault="000F38B5" w:rsidP="00874E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EA8" w:rsidRDefault="00874EA8">
    <w:pPr>
      <w:pStyle w:val="Footer"/>
      <w:pBdr>
        <w:top w:val="thinThickSmallGap" w:sz="24" w:space="1" w:color="622423" w:themeColor="accent2" w:themeShade="7F"/>
      </w:pBdr>
      <w:rPr>
        <w:rFonts w:asciiTheme="majorHAnsi" w:hAnsiTheme="majorHAnsi"/>
      </w:rPr>
    </w:pPr>
    <w:r>
      <w:rPr>
        <w:rFonts w:asciiTheme="majorHAnsi" w:hAnsiTheme="majorHAnsi"/>
      </w:rPr>
      <w:t>David Die</w:t>
    </w:r>
    <w:r>
      <w:rPr>
        <w:rFonts w:asciiTheme="majorHAnsi" w:hAnsiTheme="majorHAnsi"/>
      </w:rPr>
      <w:ptab w:relativeTo="margin" w:alignment="right" w:leader="none"/>
    </w:r>
    <w:r>
      <w:rPr>
        <w:rFonts w:asciiTheme="majorHAnsi" w:hAnsiTheme="majorHAnsi"/>
      </w:rPr>
      <w:t xml:space="preserve">Page </w:t>
    </w:r>
    <w:fldSimple w:instr=" PAGE   \* MERGEFORMAT ">
      <w:r w:rsidR="00EB564B" w:rsidRPr="00EB564B">
        <w:rPr>
          <w:rFonts w:asciiTheme="majorHAnsi" w:hAnsiTheme="majorHAnsi"/>
          <w:noProof/>
        </w:rPr>
        <w:t>1</w:t>
      </w:r>
    </w:fldSimple>
  </w:p>
  <w:p w:rsidR="00874EA8" w:rsidRDefault="00874EA8" w:rsidP="00874EA8">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38B5" w:rsidRDefault="000F38B5" w:rsidP="00874EA8">
      <w:pPr>
        <w:spacing w:after="0" w:line="240" w:lineRule="auto"/>
      </w:pPr>
      <w:r>
        <w:separator/>
      </w:r>
    </w:p>
  </w:footnote>
  <w:footnote w:type="continuationSeparator" w:id="1">
    <w:p w:rsidR="000F38B5" w:rsidRDefault="000F38B5" w:rsidP="00874EA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EA8" w:rsidRDefault="00874EA8">
    <w:pPr>
      <w:pStyle w:val="Header"/>
    </w:pPr>
    <w:r>
      <w:t>Draft April 29 2009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124F2"/>
    <w:multiLevelType w:val="hybridMultilevel"/>
    <w:tmpl w:val="2590737E"/>
    <w:lvl w:ilvl="0" w:tplc="339E808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BD58A7"/>
    <w:multiLevelType w:val="hybridMultilevel"/>
    <w:tmpl w:val="9842C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C4572E"/>
    <w:multiLevelType w:val="hybridMultilevel"/>
    <w:tmpl w:val="6E788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15448E"/>
    <w:multiLevelType w:val="hybridMultilevel"/>
    <w:tmpl w:val="7E9A52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efaultTabStop w:val="720"/>
  <w:characterSpacingControl w:val="doNotCompress"/>
  <w:footnotePr>
    <w:footnote w:id="0"/>
    <w:footnote w:id="1"/>
  </w:footnotePr>
  <w:endnotePr>
    <w:endnote w:id="0"/>
    <w:endnote w:id="1"/>
  </w:endnotePr>
  <w:compat/>
  <w:rsids>
    <w:rsidRoot w:val="00141153"/>
    <w:rsid w:val="00000AFE"/>
    <w:rsid w:val="000021C1"/>
    <w:rsid w:val="00002BF3"/>
    <w:rsid w:val="00012B97"/>
    <w:rsid w:val="00012FB6"/>
    <w:rsid w:val="00014A7C"/>
    <w:rsid w:val="00015307"/>
    <w:rsid w:val="00015C47"/>
    <w:rsid w:val="00016355"/>
    <w:rsid w:val="0001740A"/>
    <w:rsid w:val="00017503"/>
    <w:rsid w:val="00022FBA"/>
    <w:rsid w:val="000238D9"/>
    <w:rsid w:val="00023E90"/>
    <w:rsid w:val="00027ECA"/>
    <w:rsid w:val="000448BD"/>
    <w:rsid w:val="00046795"/>
    <w:rsid w:val="000469F1"/>
    <w:rsid w:val="00047C32"/>
    <w:rsid w:val="00052955"/>
    <w:rsid w:val="000617AC"/>
    <w:rsid w:val="00064159"/>
    <w:rsid w:val="00065DC8"/>
    <w:rsid w:val="00070035"/>
    <w:rsid w:val="000705DD"/>
    <w:rsid w:val="0007098B"/>
    <w:rsid w:val="000809D7"/>
    <w:rsid w:val="00080F1B"/>
    <w:rsid w:val="00081486"/>
    <w:rsid w:val="00083C66"/>
    <w:rsid w:val="00084644"/>
    <w:rsid w:val="00084F19"/>
    <w:rsid w:val="00091110"/>
    <w:rsid w:val="00091DA7"/>
    <w:rsid w:val="000A1E85"/>
    <w:rsid w:val="000A20A9"/>
    <w:rsid w:val="000A2DF9"/>
    <w:rsid w:val="000A6E28"/>
    <w:rsid w:val="000B4E5F"/>
    <w:rsid w:val="000B6900"/>
    <w:rsid w:val="000C1DF7"/>
    <w:rsid w:val="000C24E9"/>
    <w:rsid w:val="000C3352"/>
    <w:rsid w:val="000C3C41"/>
    <w:rsid w:val="000C5FE1"/>
    <w:rsid w:val="000D043F"/>
    <w:rsid w:val="000D3A3E"/>
    <w:rsid w:val="000D7DC4"/>
    <w:rsid w:val="000E0505"/>
    <w:rsid w:val="000E1B4F"/>
    <w:rsid w:val="000E44F6"/>
    <w:rsid w:val="000F0F97"/>
    <w:rsid w:val="000F38B5"/>
    <w:rsid w:val="0010005A"/>
    <w:rsid w:val="0010373B"/>
    <w:rsid w:val="00103B60"/>
    <w:rsid w:val="00106B87"/>
    <w:rsid w:val="00111504"/>
    <w:rsid w:val="00114732"/>
    <w:rsid w:val="001147DC"/>
    <w:rsid w:val="001157CE"/>
    <w:rsid w:val="00126699"/>
    <w:rsid w:val="0013105C"/>
    <w:rsid w:val="00131129"/>
    <w:rsid w:val="001311DB"/>
    <w:rsid w:val="00131A82"/>
    <w:rsid w:val="001320B8"/>
    <w:rsid w:val="001337DD"/>
    <w:rsid w:val="00133C20"/>
    <w:rsid w:val="00136594"/>
    <w:rsid w:val="00136A4E"/>
    <w:rsid w:val="00137362"/>
    <w:rsid w:val="00141153"/>
    <w:rsid w:val="00144722"/>
    <w:rsid w:val="00147293"/>
    <w:rsid w:val="001535CD"/>
    <w:rsid w:val="00153AFA"/>
    <w:rsid w:val="00157109"/>
    <w:rsid w:val="001579CA"/>
    <w:rsid w:val="00160468"/>
    <w:rsid w:val="0016181B"/>
    <w:rsid w:val="00161DC1"/>
    <w:rsid w:val="00162A1E"/>
    <w:rsid w:val="00162DF0"/>
    <w:rsid w:val="00166592"/>
    <w:rsid w:val="00172AC9"/>
    <w:rsid w:val="0017447B"/>
    <w:rsid w:val="00174831"/>
    <w:rsid w:val="00176328"/>
    <w:rsid w:val="00181367"/>
    <w:rsid w:val="00183119"/>
    <w:rsid w:val="00183FF4"/>
    <w:rsid w:val="0018509D"/>
    <w:rsid w:val="001853D8"/>
    <w:rsid w:val="001871B8"/>
    <w:rsid w:val="001876F1"/>
    <w:rsid w:val="00193261"/>
    <w:rsid w:val="001932E1"/>
    <w:rsid w:val="001974D8"/>
    <w:rsid w:val="001A3D6D"/>
    <w:rsid w:val="001A5253"/>
    <w:rsid w:val="001A734A"/>
    <w:rsid w:val="001B25E4"/>
    <w:rsid w:val="001B2936"/>
    <w:rsid w:val="001B3E90"/>
    <w:rsid w:val="001B4723"/>
    <w:rsid w:val="001B5F14"/>
    <w:rsid w:val="001B5F2D"/>
    <w:rsid w:val="001C3EAF"/>
    <w:rsid w:val="001C7955"/>
    <w:rsid w:val="001D1DF5"/>
    <w:rsid w:val="001D4FB7"/>
    <w:rsid w:val="001D62DC"/>
    <w:rsid w:val="001E01F8"/>
    <w:rsid w:val="001E36A9"/>
    <w:rsid w:val="001E541A"/>
    <w:rsid w:val="001E55DE"/>
    <w:rsid w:val="001E5976"/>
    <w:rsid w:val="001E613E"/>
    <w:rsid w:val="001E6537"/>
    <w:rsid w:val="001E78EE"/>
    <w:rsid w:val="001E7FFD"/>
    <w:rsid w:val="001F0B0C"/>
    <w:rsid w:val="001F10A2"/>
    <w:rsid w:val="002008C8"/>
    <w:rsid w:val="00202B15"/>
    <w:rsid w:val="0020567A"/>
    <w:rsid w:val="002068CB"/>
    <w:rsid w:val="0020702D"/>
    <w:rsid w:val="00211598"/>
    <w:rsid w:val="00212827"/>
    <w:rsid w:val="00213687"/>
    <w:rsid w:val="00214351"/>
    <w:rsid w:val="00215CD4"/>
    <w:rsid w:val="00216CAE"/>
    <w:rsid w:val="002172E8"/>
    <w:rsid w:val="00220CD6"/>
    <w:rsid w:val="00224990"/>
    <w:rsid w:val="002279FF"/>
    <w:rsid w:val="00227F37"/>
    <w:rsid w:val="00230BAB"/>
    <w:rsid w:val="00230F59"/>
    <w:rsid w:val="0023116F"/>
    <w:rsid w:val="002326F7"/>
    <w:rsid w:val="00236377"/>
    <w:rsid w:val="00237435"/>
    <w:rsid w:val="002413C0"/>
    <w:rsid w:val="002414FD"/>
    <w:rsid w:val="00242052"/>
    <w:rsid w:val="0024268A"/>
    <w:rsid w:val="002427EA"/>
    <w:rsid w:val="00242998"/>
    <w:rsid w:val="00244472"/>
    <w:rsid w:val="002455A0"/>
    <w:rsid w:val="0024752A"/>
    <w:rsid w:val="00250923"/>
    <w:rsid w:val="00251AF5"/>
    <w:rsid w:val="00252CE9"/>
    <w:rsid w:val="00253A1A"/>
    <w:rsid w:val="002544B9"/>
    <w:rsid w:val="00255FD6"/>
    <w:rsid w:val="00262B43"/>
    <w:rsid w:val="00266147"/>
    <w:rsid w:val="0027100E"/>
    <w:rsid w:val="0027106B"/>
    <w:rsid w:val="00271DEB"/>
    <w:rsid w:val="002738B2"/>
    <w:rsid w:val="0027637A"/>
    <w:rsid w:val="002845D2"/>
    <w:rsid w:val="0028749F"/>
    <w:rsid w:val="002914D7"/>
    <w:rsid w:val="00291603"/>
    <w:rsid w:val="002959CB"/>
    <w:rsid w:val="002978BF"/>
    <w:rsid w:val="002A0867"/>
    <w:rsid w:val="002A233F"/>
    <w:rsid w:val="002A3D89"/>
    <w:rsid w:val="002A4466"/>
    <w:rsid w:val="002A499A"/>
    <w:rsid w:val="002A58F7"/>
    <w:rsid w:val="002A7AEF"/>
    <w:rsid w:val="002B11D7"/>
    <w:rsid w:val="002B1DFA"/>
    <w:rsid w:val="002B2349"/>
    <w:rsid w:val="002B42BE"/>
    <w:rsid w:val="002B621A"/>
    <w:rsid w:val="002C10AC"/>
    <w:rsid w:val="002C3D14"/>
    <w:rsid w:val="002C3D62"/>
    <w:rsid w:val="002D21B7"/>
    <w:rsid w:val="002D59C7"/>
    <w:rsid w:val="002D754B"/>
    <w:rsid w:val="002E0133"/>
    <w:rsid w:val="002E13A1"/>
    <w:rsid w:val="002E3A23"/>
    <w:rsid w:val="002E66FE"/>
    <w:rsid w:val="002F013B"/>
    <w:rsid w:val="002F0809"/>
    <w:rsid w:val="002F2440"/>
    <w:rsid w:val="002F2B56"/>
    <w:rsid w:val="002F3AAA"/>
    <w:rsid w:val="002F5172"/>
    <w:rsid w:val="002F6943"/>
    <w:rsid w:val="002F71E7"/>
    <w:rsid w:val="00301962"/>
    <w:rsid w:val="003025F4"/>
    <w:rsid w:val="00304441"/>
    <w:rsid w:val="00304837"/>
    <w:rsid w:val="0030681D"/>
    <w:rsid w:val="00307111"/>
    <w:rsid w:val="0030771C"/>
    <w:rsid w:val="00313642"/>
    <w:rsid w:val="00320CCB"/>
    <w:rsid w:val="00324EFE"/>
    <w:rsid w:val="003274C9"/>
    <w:rsid w:val="003278A5"/>
    <w:rsid w:val="003278EB"/>
    <w:rsid w:val="00327DBC"/>
    <w:rsid w:val="00327F85"/>
    <w:rsid w:val="003312C1"/>
    <w:rsid w:val="00331D93"/>
    <w:rsid w:val="00332721"/>
    <w:rsid w:val="00332C1C"/>
    <w:rsid w:val="00336370"/>
    <w:rsid w:val="00336C2A"/>
    <w:rsid w:val="00336C5B"/>
    <w:rsid w:val="00337A21"/>
    <w:rsid w:val="00344C9A"/>
    <w:rsid w:val="00344EEC"/>
    <w:rsid w:val="00350D06"/>
    <w:rsid w:val="003537DA"/>
    <w:rsid w:val="00353CCD"/>
    <w:rsid w:val="00353F7A"/>
    <w:rsid w:val="00360ACD"/>
    <w:rsid w:val="00364655"/>
    <w:rsid w:val="003646A2"/>
    <w:rsid w:val="00372A96"/>
    <w:rsid w:val="00375234"/>
    <w:rsid w:val="003779D9"/>
    <w:rsid w:val="00381ACB"/>
    <w:rsid w:val="0038225E"/>
    <w:rsid w:val="003823C3"/>
    <w:rsid w:val="0038309F"/>
    <w:rsid w:val="003852DC"/>
    <w:rsid w:val="00387879"/>
    <w:rsid w:val="0039016A"/>
    <w:rsid w:val="003908A9"/>
    <w:rsid w:val="00391DC0"/>
    <w:rsid w:val="00392D7E"/>
    <w:rsid w:val="003938AE"/>
    <w:rsid w:val="003A0E22"/>
    <w:rsid w:val="003A2AF5"/>
    <w:rsid w:val="003A3CCC"/>
    <w:rsid w:val="003A5DD0"/>
    <w:rsid w:val="003A6939"/>
    <w:rsid w:val="003A7388"/>
    <w:rsid w:val="003B311E"/>
    <w:rsid w:val="003B3CB2"/>
    <w:rsid w:val="003B7FAF"/>
    <w:rsid w:val="003C2F45"/>
    <w:rsid w:val="003C358F"/>
    <w:rsid w:val="003C3C78"/>
    <w:rsid w:val="003C41D7"/>
    <w:rsid w:val="003C450B"/>
    <w:rsid w:val="003C4FB8"/>
    <w:rsid w:val="003D03B1"/>
    <w:rsid w:val="003D1F02"/>
    <w:rsid w:val="003D3804"/>
    <w:rsid w:val="003D3E3D"/>
    <w:rsid w:val="003D48D9"/>
    <w:rsid w:val="003D66DB"/>
    <w:rsid w:val="003D7EAC"/>
    <w:rsid w:val="003E1052"/>
    <w:rsid w:val="003E1206"/>
    <w:rsid w:val="003E2181"/>
    <w:rsid w:val="003E317E"/>
    <w:rsid w:val="003E3F74"/>
    <w:rsid w:val="003E4935"/>
    <w:rsid w:val="003E546B"/>
    <w:rsid w:val="003E5C0F"/>
    <w:rsid w:val="003F0205"/>
    <w:rsid w:val="003F19DD"/>
    <w:rsid w:val="003F247D"/>
    <w:rsid w:val="003F2A6A"/>
    <w:rsid w:val="003F35C9"/>
    <w:rsid w:val="004000C7"/>
    <w:rsid w:val="00401862"/>
    <w:rsid w:val="00401EB0"/>
    <w:rsid w:val="00402A12"/>
    <w:rsid w:val="00410EB2"/>
    <w:rsid w:val="00411D8B"/>
    <w:rsid w:val="0041518A"/>
    <w:rsid w:val="00420B2B"/>
    <w:rsid w:val="00421707"/>
    <w:rsid w:val="00421AAF"/>
    <w:rsid w:val="0042712F"/>
    <w:rsid w:val="00431F6D"/>
    <w:rsid w:val="00433B3D"/>
    <w:rsid w:val="00434030"/>
    <w:rsid w:val="0043491D"/>
    <w:rsid w:val="00436114"/>
    <w:rsid w:val="0043645C"/>
    <w:rsid w:val="00436770"/>
    <w:rsid w:val="004409B5"/>
    <w:rsid w:val="00444AB3"/>
    <w:rsid w:val="00444C16"/>
    <w:rsid w:val="00446AB1"/>
    <w:rsid w:val="00447602"/>
    <w:rsid w:val="00452426"/>
    <w:rsid w:val="00453719"/>
    <w:rsid w:val="004576F8"/>
    <w:rsid w:val="00457EF3"/>
    <w:rsid w:val="004606A4"/>
    <w:rsid w:val="00462E11"/>
    <w:rsid w:val="00463DB1"/>
    <w:rsid w:val="00473620"/>
    <w:rsid w:val="00474D27"/>
    <w:rsid w:val="0047660B"/>
    <w:rsid w:val="00477065"/>
    <w:rsid w:val="00480E37"/>
    <w:rsid w:val="004822A3"/>
    <w:rsid w:val="0048312C"/>
    <w:rsid w:val="00483472"/>
    <w:rsid w:val="00485D3A"/>
    <w:rsid w:val="004918EE"/>
    <w:rsid w:val="0049658A"/>
    <w:rsid w:val="004A01EB"/>
    <w:rsid w:val="004A2D35"/>
    <w:rsid w:val="004A3A1A"/>
    <w:rsid w:val="004A5AD5"/>
    <w:rsid w:val="004A6CBC"/>
    <w:rsid w:val="004B066B"/>
    <w:rsid w:val="004B1742"/>
    <w:rsid w:val="004B2732"/>
    <w:rsid w:val="004B5D75"/>
    <w:rsid w:val="004B72E3"/>
    <w:rsid w:val="004C0466"/>
    <w:rsid w:val="004C1356"/>
    <w:rsid w:val="004C265E"/>
    <w:rsid w:val="004C3276"/>
    <w:rsid w:val="004C6878"/>
    <w:rsid w:val="004C68EB"/>
    <w:rsid w:val="004D1742"/>
    <w:rsid w:val="004D1AF0"/>
    <w:rsid w:val="004D2B47"/>
    <w:rsid w:val="004D6458"/>
    <w:rsid w:val="004D6CA6"/>
    <w:rsid w:val="004E0B93"/>
    <w:rsid w:val="004E3EA7"/>
    <w:rsid w:val="004E469F"/>
    <w:rsid w:val="004E4746"/>
    <w:rsid w:val="004E4D18"/>
    <w:rsid w:val="004E4D55"/>
    <w:rsid w:val="004E4E87"/>
    <w:rsid w:val="004E59A1"/>
    <w:rsid w:val="004E6808"/>
    <w:rsid w:val="004E7028"/>
    <w:rsid w:val="004F2397"/>
    <w:rsid w:val="004F2746"/>
    <w:rsid w:val="004F2929"/>
    <w:rsid w:val="004F730B"/>
    <w:rsid w:val="0050751A"/>
    <w:rsid w:val="00507B40"/>
    <w:rsid w:val="00510A42"/>
    <w:rsid w:val="005126D1"/>
    <w:rsid w:val="00512787"/>
    <w:rsid w:val="00516551"/>
    <w:rsid w:val="005218FF"/>
    <w:rsid w:val="005249E2"/>
    <w:rsid w:val="00525980"/>
    <w:rsid w:val="00533C6D"/>
    <w:rsid w:val="005366C1"/>
    <w:rsid w:val="00536BEE"/>
    <w:rsid w:val="00540930"/>
    <w:rsid w:val="005428BE"/>
    <w:rsid w:val="00544578"/>
    <w:rsid w:val="005450BF"/>
    <w:rsid w:val="00551CAA"/>
    <w:rsid w:val="00553907"/>
    <w:rsid w:val="005556A3"/>
    <w:rsid w:val="00557F3B"/>
    <w:rsid w:val="0056077E"/>
    <w:rsid w:val="00570E70"/>
    <w:rsid w:val="00571F84"/>
    <w:rsid w:val="005722B1"/>
    <w:rsid w:val="00572431"/>
    <w:rsid w:val="005746EC"/>
    <w:rsid w:val="00576379"/>
    <w:rsid w:val="00580691"/>
    <w:rsid w:val="005813AD"/>
    <w:rsid w:val="00581DD4"/>
    <w:rsid w:val="00583CD1"/>
    <w:rsid w:val="00583DA5"/>
    <w:rsid w:val="005855FF"/>
    <w:rsid w:val="00586AC5"/>
    <w:rsid w:val="005906F5"/>
    <w:rsid w:val="0059471C"/>
    <w:rsid w:val="0059596C"/>
    <w:rsid w:val="00596C3A"/>
    <w:rsid w:val="005A005A"/>
    <w:rsid w:val="005A0605"/>
    <w:rsid w:val="005A2172"/>
    <w:rsid w:val="005A2ACE"/>
    <w:rsid w:val="005A560A"/>
    <w:rsid w:val="005B2DDC"/>
    <w:rsid w:val="005B4ECF"/>
    <w:rsid w:val="005B6CC7"/>
    <w:rsid w:val="005C1E35"/>
    <w:rsid w:val="005C23F6"/>
    <w:rsid w:val="005C2655"/>
    <w:rsid w:val="005C2693"/>
    <w:rsid w:val="005C4388"/>
    <w:rsid w:val="005C4425"/>
    <w:rsid w:val="005C4F74"/>
    <w:rsid w:val="005C627C"/>
    <w:rsid w:val="005D121A"/>
    <w:rsid w:val="005D32A1"/>
    <w:rsid w:val="005D6DC6"/>
    <w:rsid w:val="005D6FB3"/>
    <w:rsid w:val="005E0D6A"/>
    <w:rsid w:val="005E4D6B"/>
    <w:rsid w:val="005E61FE"/>
    <w:rsid w:val="005F01A9"/>
    <w:rsid w:val="005F1E4A"/>
    <w:rsid w:val="005F2157"/>
    <w:rsid w:val="005F4876"/>
    <w:rsid w:val="005F6D7F"/>
    <w:rsid w:val="005F7BDA"/>
    <w:rsid w:val="0060237A"/>
    <w:rsid w:val="006055E1"/>
    <w:rsid w:val="00606885"/>
    <w:rsid w:val="006073CD"/>
    <w:rsid w:val="00612BD9"/>
    <w:rsid w:val="006145E1"/>
    <w:rsid w:val="00614958"/>
    <w:rsid w:val="00617C6F"/>
    <w:rsid w:val="00620993"/>
    <w:rsid w:val="00622903"/>
    <w:rsid w:val="006243E0"/>
    <w:rsid w:val="006278FE"/>
    <w:rsid w:val="00627DDA"/>
    <w:rsid w:val="006300F9"/>
    <w:rsid w:val="00631F7D"/>
    <w:rsid w:val="0063327B"/>
    <w:rsid w:val="00635FD9"/>
    <w:rsid w:val="006376F9"/>
    <w:rsid w:val="00642056"/>
    <w:rsid w:val="0064269A"/>
    <w:rsid w:val="00644CB1"/>
    <w:rsid w:val="006451DC"/>
    <w:rsid w:val="00646D93"/>
    <w:rsid w:val="00647724"/>
    <w:rsid w:val="00650886"/>
    <w:rsid w:val="006560F9"/>
    <w:rsid w:val="00656C74"/>
    <w:rsid w:val="006576DB"/>
    <w:rsid w:val="00664C40"/>
    <w:rsid w:val="006657FD"/>
    <w:rsid w:val="00666344"/>
    <w:rsid w:val="006679FB"/>
    <w:rsid w:val="00674461"/>
    <w:rsid w:val="00674816"/>
    <w:rsid w:val="00675739"/>
    <w:rsid w:val="00676EB7"/>
    <w:rsid w:val="006808F6"/>
    <w:rsid w:val="00680BCB"/>
    <w:rsid w:val="00681F8C"/>
    <w:rsid w:val="00683F89"/>
    <w:rsid w:val="0068694E"/>
    <w:rsid w:val="006878DB"/>
    <w:rsid w:val="006901A4"/>
    <w:rsid w:val="00695C0F"/>
    <w:rsid w:val="00697917"/>
    <w:rsid w:val="006A0BF0"/>
    <w:rsid w:val="006A3EE3"/>
    <w:rsid w:val="006B03EB"/>
    <w:rsid w:val="006B243A"/>
    <w:rsid w:val="006B58DB"/>
    <w:rsid w:val="006B67CB"/>
    <w:rsid w:val="006B734B"/>
    <w:rsid w:val="006C1EE4"/>
    <w:rsid w:val="006C2C9E"/>
    <w:rsid w:val="006C5360"/>
    <w:rsid w:val="006D4146"/>
    <w:rsid w:val="006D45A5"/>
    <w:rsid w:val="006D69ED"/>
    <w:rsid w:val="006E073A"/>
    <w:rsid w:val="006F09F3"/>
    <w:rsid w:val="006F2011"/>
    <w:rsid w:val="006F2B67"/>
    <w:rsid w:val="006F54C6"/>
    <w:rsid w:val="006F6406"/>
    <w:rsid w:val="0070117F"/>
    <w:rsid w:val="00701276"/>
    <w:rsid w:val="00702499"/>
    <w:rsid w:val="00707FEE"/>
    <w:rsid w:val="00710943"/>
    <w:rsid w:val="00712195"/>
    <w:rsid w:val="007127D4"/>
    <w:rsid w:val="00713FC9"/>
    <w:rsid w:val="0071494F"/>
    <w:rsid w:val="00715D16"/>
    <w:rsid w:val="007173AC"/>
    <w:rsid w:val="007226A0"/>
    <w:rsid w:val="007241BA"/>
    <w:rsid w:val="00725472"/>
    <w:rsid w:val="0072549E"/>
    <w:rsid w:val="0073066B"/>
    <w:rsid w:val="00730E2F"/>
    <w:rsid w:val="00732C7E"/>
    <w:rsid w:val="00740F79"/>
    <w:rsid w:val="0074271C"/>
    <w:rsid w:val="00750059"/>
    <w:rsid w:val="007511C4"/>
    <w:rsid w:val="00753256"/>
    <w:rsid w:val="00754CB3"/>
    <w:rsid w:val="00755C7B"/>
    <w:rsid w:val="00755DA9"/>
    <w:rsid w:val="00757370"/>
    <w:rsid w:val="007574A9"/>
    <w:rsid w:val="00757BB3"/>
    <w:rsid w:val="007606AA"/>
    <w:rsid w:val="007630FF"/>
    <w:rsid w:val="00763945"/>
    <w:rsid w:val="00766C87"/>
    <w:rsid w:val="007706AB"/>
    <w:rsid w:val="00773693"/>
    <w:rsid w:val="00776CA0"/>
    <w:rsid w:val="00777B41"/>
    <w:rsid w:val="0078101B"/>
    <w:rsid w:val="0078510E"/>
    <w:rsid w:val="00792E13"/>
    <w:rsid w:val="007963D1"/>
    <w:rsid w:val="007A158A"/>
    <w:rsid w:val="007A35AF"/>
    <w:rsid w:val="007A3794"/>
    <w:rsid w:val="007A3A9E"/>
    <w:rsid w:val="007A5993"/>
    <w:rsid w:val="007B032B"/>
    <w:rsid w:val="007B0CE2"/>
    <w:rsid w:val="007B22D3"/>
    <w:rsid w:val="007B2AAE"/>
    <w:rsid w:val="007B3127"/>
    <w:rsid w:val="007B47A1"/>
    <w:rsid w:val="007B7D8D"/>
    <w:rsid w:val="007C04E1"/>
    <w:rsid w:val="007C05BC"/>
    <w:rsid w:val="007C0CD0"/>
    <w:rsid w:val="007C49CD"/>
    <w:rsid w:val="007D0D3F"/>
    <w:rsid w:val="007D12D1"/>
    <w:rsid w:val="007D29FA"/>
    <w:rsid w:val="007D310A"/>
    <w:rsid w:val="007D468E"/>
    <w:rsid w:val="007E035E"/>
    <w:rsid w:val="007E1C16"/>
    <w:rsid w:val="007E29A6"/>
    <w:rsid w:val="007E62A6"/>
    <w:rsid w:val="007E6EF5"/>
    <w:rsid w:val="007E7E4D"/>
    <w:rsid w:val="007F0294"/>
    <w:rsid w:val="007F02D3"/>
    <w:rsid w:val="007F7D79"/>
    <w:rsid w:val="00800C5D"/>
    <w:rsid w:val="00801ED6"/>
    <w:rsid w:val="0080201D"/>
    <w:rsid w:val="0080223B"/>
    <w:rsid w:val="00803BAA"/>
    <w:rsid w:val="0080425D"/>
    <w:rsid w:val="00806176"/>
    <w:rsid w:val="00810D38"/>
    <w:rsid w:val="00811D24"/>
    <w:rsid w:val="008136CF"/>
    <w:rsid w:val="00816435"/>
    <w:rsid w:val="00817A81"/>
    <w:rsid w:val="00820607"/>
    <w:rsid w:val="00821069"/>
    <w:rsid w:val="00824A5B"/>
    <w:rsid w:val="00825B4C"/>
    <w:rsid w:val="00825FEF"/>
    <w:rsid w:val="00832AE9"/>
    <w:rsid w:val="008338EA"/>
    <w:rsid w:val="00833C0F"/>
    <w:rsid w:val="00833EF9"/>
    <w:rsid w:val="00837D2C"/>
    <w:rsid w:val="00840205"/>
    <w:rsid w:val="00840481"/>
    <w:rsid w:val="0084133E"/>
    <w:rsid w:val="00844557"/>
    <w:rsid w:val="00851818"/>
    <w:rsid w:val="00853234"/>
    <w:rsid w:val="00854014"/>
    <w:rsid w:val="00861754"/>
    <w:rsid w:val="0086197B"/>
    <w:rsid w:val="00865267"/>
    <w:rsid w:val="00866EF3"/>
    <w:rsid w:val="0087190F"/>
    <w:rsid w:val="00874EA8"/>
    <w:rsid w:val="00877E5F"/>
    <w:rsid w:val="00880093"/>
    <w:rsid w:val="00881DED"/>
    <w:rsid w:val="00882C16"/>
    <w:rsid w:val="00882F09"/>
    <w:rsid w:val="008907FC"/>
    <w:rsid w:val="00891EDC"/>
    <w:rsid w:val="008926DE"/>
    <w:rsid w:val="008933F2"/>
    <w:rsid w:val="008934F6"/>
    <w:rsid w:val="00893D82"/>
    <w:rsid w:val="0089646F"/>
    <w:rsid w:val="008A1D70"/>
    <w:rsid w:val="008A2498"/>
    <w:rsid w:val="008A3E68"/>
    <w:rsid w:val="008A6AF0"/>
    <w:rsid w:val="008B0A02"/>
    <w:rsid w:val="008B3693"/>
    <w:rsid w:val="008B3E19"/>
    <w:rsid w:val="008B5143"/>
    <w:rsid w:val="008B6B6A"/>
    <w:rsid w:val="008C2619"/>
    <w:rsid w:val="008C28EB"/>
    <w:rsid w:val="008C7FDA"/>
    <w:rsid w:val="008D1796"/>
    <w:rsid w:val="008D1956"/>
    <w:rsid w:val="008D3B97"/>
    <w:rsid w:val="008D4B72"/>
    <w:rsid w:val="008D54B3"/>
    <w:rsid w:val="008D76B6"/>
    <w:rsid w:val="008D7884"/>
    <w:rsid w:val="008E4977"/>
    <w:rsid w:val="008F4CC0"/>
    <w:rsid w:val="008F79B7"/>
    <w:rsid w:val="0090098F"/>
    <w:rsid w:val="00901186"/>
    <w:rsid w:val="00901A03"/>
    <w:rsid w:val="00903072"/>
    <w:rsid w:val="00905AA3"/>
    <w:rsid w:val="00910C07"/>
    <w:rsid w:val="009117C7"/>
    <w:rsid w:val="00912BF3"/>
    <w:rsid w:val="00913A08"/>
    <w:rsid w:val="0092057C"/>
    <w:rsid w:val="00924A68"/>
    <w:rsid w:val="00924AA8"/>
    <w:rsid w:val="009253B1"/>
    <w:rsid w:val="00926EE9"/>
    <w:rsid w:val="0092771B"/>
    <w:rsid w:val="00931CD9"/>
    <w:rsid w:val="00931DA6"/>
    <w:rsid w:val="00934931"/>
    <w:rsid w:val="009374A1"/>
    <w:rsid w:val="009405AC"/>
    <w:rsid w:val="00940B4E"/>
    <w:rsid w:val="00941CD0"/>
    <w:rsid w:val="009478C0"/>
    <w:rsid w:val="00947D40"/>
    <w:rsid w:val="00954E4A"/>
    <w:rsid w:val="00955B59"/>
    <w:rsid w:val="00957192"/>
    <w:rsid w:val="0096204E"/>
    <w:rsid w:val="00962876"/>
    <w:rsid w:val="00962EA6"/>
    <w:rsid w:val="00964148"/>
    <w:rsid w:val="00966078"/>
    <w:rsid w:val="00970351"/>
    <w:rsid w:val="00970B2F"/>
    <w:rsid w:val="00972DC6"/>
    <w:rsid w:val="0097596E"/>
    <w:rsid w:val="00976602"/>
    <w:rsid w:val="00977A45"/>
    <w:rsid w:val="00983CDC"/>
    <w:rsid w:val="009907C6"/>
    <w:rsid w:val="00991305"/>
    <w:rsid w:val="00991749"/>
    <w:rsid w:val="00995B2F"/>
    <w:rsid w:val="0099668C"/>
    <w:rsid w:val="00997630"/>
    <w:rsid w:val="009A66FB"/>
    <w:rsid w:val="009B1E26"/>
    <w:rsid w:val="009B2553"/>
    <w:rsid w:val="009B393C"/>
    <w:rsid w:val="009B47BC"/>
    <w:rsid w:val="009C6606"/>
    <w:rsid w:val="009D013B"/>
    <w:rsid w:val="009D1698"/>
    <w:rsid w:val="009D2258"/>
    <w:rsid w:val="009D3C25"/>
    <w:rsid w:val="009D5E0D"/>
    <w:rsid w:val="009E281E"/>
    <w:rsid w:val="009E2F5F"/>
    <w:rsid w:val="009E56E6"/>
    <w:rsid w:val="009E7DFB"/>
    <w:rsid w:val="009F6BFB"/>
    <w:rsid w:val="009F7C65"/>
    <w:rsid w:val="00A00096"/>
    <w:rsid w:val="00A01229"/>
    <w:rsid w:val="00A02255"/>
    <w:rsid w:val="00A02521"/>
    <w:rsid w:val="00A02BDC"/>
    <w:rsid w:val="00A05485"/>
    <w:rsid w:val="00A067C3"/>
    <w:rsid w:val="00A115B9"/>
    <w:rsid w:val="00A161D0"/>
    <w:rsid w:val="00A1686A"/>
    <w:rsid w:val="00A16B73"/>
    <w:rsid w:val="00A177DA"/>
    <w:rsid w:val="00A207CA"/>
    <w:rsid w:val="00A21D18"/>
    <w:rsid w:val="00A22C5F"/>
    <w:rsid w:val="00A2317B"/>
    <w:rsid w:val="00A24745"/>
    <w:rsid w:val="00A24B0C"/>
    <w:rsid w:val="00A257F7"/>
    <w:rsid w:val="00A27378"/>
    <w:rsid w:val="00A3160A"/>
    <w:rsid w:val="00A33D83"/>
    <w:rsid w:val="00A37116"/>
    <w:rsid w:val="00A37129"/>
    <w:rsid w:val="00A41825"/>
    <w:rsid w:val="00A43208"/>
    <w:rsid w:val="00A463FB"/>
    <w:rsid w:val="00A469DD"/>
    <w:rsid w:val="00A47867"/>
    <w:rsid w:val="00A50641"/>
    <w:rsid w:val="00A529E1"/>
    <w:rsid w:val="00A53CB5"/>
    <w:rsid w:val="00A540DD"/>
    <w:rsid w:val="00A601CF"/>
    <w:rsid w:val="00A67450"/>
    <w:rsid w:val="00A67923"/>
    <w:rsid w:val="00A73BC2"/>
    <w:rsid w:val="00A74D08"/>
    <w:rsid w:val="00A7712B"/>
    <w:rsid w:val="00A77204"/>
    <w:rsid w:val="00A81C1A"/>
    <w:rsid w:val="00A86AE1"/>
    <w:rsid w:val="00A87BDC"/>
    <w:rsid w:val="00A9005A"/>
    <w:rsid w:val="00A919DA"/>
    <w:rsid w:val="00A926C7"/>
    <w:rsid w:val="00A9336D"/>
    <w:rsid w:val="00A95FAD"/>
    <w:rsid w:val="00AA57DA"/>
    <w:rsid w:val="00AB06E3"/>
    <w:rsid w:val="00AB1D33"/>
    <w:rsid w:val="00AB361A"/>
    <w:rsid w:val="00AB3AA4"/>
    <w:rsid w:val="00AB6015"/>
    <w:rsid w:val="00AB6E8E"/>
    <w:rsid w:val="00AC05E8"/>
    <w:rsid w:val="00AD0E1B"/>
    <w:rsid w:val="00AD3DB4"/>
    <w:rsid w:val="00AD5B7B"/>
    <w:rsid w:val="00AD7A32"/>
    <w:rsid w:val="00AE529D"/>
    <w:rsid w:val="00AE5B99"/>
    <w:rsid w:val="00AF5F4F"/>
    <w:rsid w:val="00B025BD"/>
    <w:rsid w:val="00B038D1"/>
    <w:rsid w:val="00B04C09"/>
    <w:rsid w:val="00B0536F"/>
    <w:rsid w:val="00B07BB9"/>
    <w:rsid w:val="00B101FD"/>
    <w:rsid w:val="00B1266A"/>
    <w:rsid w:val="00B12723"/>
    <w:rsid w:val="00B13F99"/>
    <w:rsid w:val="00B14DB3"/>
    <w:rsid w:val="00B16699"/>
    <w:rsid w:val="00B2132C"/>
    <w:rsid w:val="00B224D6"/>
    <w:rsid w:val="00B2257E"/>
    <w:rsid w:val="00B25B93"/>
    <w:rsid w:val="00B330F6"/>
    <w:rsid w:val="00B334C4"/>
    <w:rsid w:val="00B33BC8"/>
    <w:rsid w:val="00B353DA"/>
    <w:rsid w:val="00B368D4"/>
    <w:rsid w:val="00B43089"/>
    <w:rsid w:val="00B45BEB"/>
    <w:rsid w:val="00B45DF0"/>
    <w:rsid w:val="00B47642"/>
    <w:rsid w:val="00B479BC"/>
    <w:rsid w:val="00B51238"/>
    <w:rsid w:val="00B564E1"/>
    <w:rsid w:val="00B56BE9"/>
    <w:rsid w:val="00B56CFC"/>
    <w:rsid w:val="00B60001"/>
    <w:rsid w:val="00B638E6"/>
    <w:rsid w:val="00B6397B"/>
    <w:rsid w:val="00B6537E"/>
    <w:rsid w:val="00B66440"/>
    <w:rsid w:val="00B7113F"/>
    <w:rsid w:val="00B7128A"/>
    <w:rsid w:val="00B7377B"/>
    <w:rsid w:val="00B745DA"/>
    <w:rsid w:val="00B75100"/>
    <w:rsid w:val="00B759B2"/>
    <w:rsid w:val="00B76927"/>
    <w:rsid w:val="00B8034F"/>
    <w:rsid w:val="00B803ED"/>
    <w:rsid w:val="00B809B9"/>
    <w:rsid w:val="00B8246E"/>
    <w:rsid w:val="00B8469A"/>
    <w:rsid w:val="00B84AFF"/>
    <w:rsid w:val="00B90926"/>
    <w:rsid w:val="00B91956"/>
    <w:rsid w:val="00B91A17"/>
    <w:rsid w:val="00B91CC2"/>
    <w:rsid w:val="00B92879"/>
    <w:rsid w:val="00B92A53"/>
    <w:rsid w:val="00B9387C"/>
    <w:rsid w:val="00B9403E"/>
    <w:rsid w:val="00B94A21"/>
    <w:rsid w:val="00B953EE"/>
    <w:rsid w:val="00BA0021"/>
    <w:rsid w:val="00BA6923"/>
    <w:rsid w:val="00BB05D3"/>
    <w:rsid w:val="00BB240A"/>
    <w:rsid w:val="00BC0652"/>
    <w:rsid w:val="00BC298E"/>
    <w:rsid w:val="00BC485B"/>
    <w:rsid w:val="00BC6A78"/>
    <w:rsid w:val="00BC734B"/>
    <w:rsid w:val="00BC7438"/>
    <w:rsid w:val="00BD1ABB"/>
    <w:rsid w:val="00BD2379"/>
    <w:rsid w:val="00BD50DC"/>
    <w:rsid w:val="00BE49F6"/>
    <w:rsid w:val="00BF1DE8"/>
    <w:rsid w:val="00BF2FDD"/>
    <w:rsid w:val="00BF3C0B"/>
    <w:rsid w:val="00BF73C9"/>
    <w:rsid w:val="00BF7DB4"/>
    <w:rsid w:val="00C01089"/>
    <w:rsid w:val="00C01146"/>
    <w:rsid w:val="00C021B3"/>
    <w:rsid w:val="00C03C6A"/>
    <w:rsid w:val="00C03DD0"/>
    <w:rsid w:val="00C05F3F"/>
    <w:rsid w:val="00C1051F"/>
    <w:rsid w:val="00C10B82"/>
    <w:rsid w:val="00C12CAC"/>
    <w:rsid w:val="00C13ABC"/>
    <w:rsid w:val="00C13EB0"/>
    <w:rsid w:val="00C15F82"/>
    <w:rsid w:val="00C16182"/>
    <w:rsid w:val="00C22671"/>
    <w:rsid w:val="00C31AC4"/>
    <w:rsid w:val="00C33E15"/>
    <w:rsid w:val="00C34CDE"/>
    <w:rsid w:val="00C3577A"/>
    <w:rsid w:val="00C462F9"/>
    <w:rsid w:val="00C467CF"/>
    <w:rsid w:val="00C47036"/>
    <w:rsid w:val="00C50654"/>
    <w:rsid w:val="00C50955"/>
    <w:rsid w:val="00C52B6C"/>
    <w:rsid w:val="00C53547"/>
    <w:rsid w:val="00C54662"/>
    <w:rsid w:val="00C54977"/>
    <w:rsid w:val="00C600CB"/>
    <w:rsid w:val="00C6083F"/>
    <w:rsid w:val="00C61E75"/>
    <w:rsid w:val="00C61E9E"/>
    <w:rsid w:val="00C624FF"/>
    <w:rsid w:val="00C62567"/>
    <w:rsid w:val="00C63DAF"/>
    <w:rsid w:val="00C80A64"/>
    <w:rsid w:val="00C85690"/>
    <w:rsid w:val="00C868D9"/>
    <w:rsid w:val="00C86B08"/>
    <w:rsid w:val="00C90DAF"/>
    <w:rsid w:val="00C97DDB"/>
    <w:rsid w:val="00CA0CC4"/>
    <w:rsid w:val="00CA55FC"/>
    <w:rsid w:val="00CA5BD1"/>
    <w:rsid w:val="00CB1DA8"/>
    <w:rsid w:val="00CC19A6"/>
    <w:rsid w:val="00CC4157"/>
    <w:rsid w:val="00CC4BFC"/>
    <w:rsid w:val="00CC551D"/>
    <w:rsid w:val="00CC6E48"/>
    <w:rsid w:val="00CC71D5"/>
    <w:rsid w:val="00CD031E"/>
    <w:rsid w:val="00CD184E"/>
    <w:rsid w:val="00CD6D44"/>
    <w:rsid w:val="00CF2AAE"/>
    <w:rsid w:val="00CF5243"/>
    <w:rsid w:val="00CF6DFB"/>
    <w:rsid w:val="00CF6EC3"/>
    <w:rsid w:val="00CF7920"/>
    <w:rsid w:val="00D02C9F"/>
    <w:rsid w:val="00D0303D"/>
    <w:rsid w:val="00D06523"/>
    <w:rsid w:val="00D13CF7"/>
    <w:rsid w:val="00D218EF"/>
    <w:rsid w:val="00D21C42"/>
    <w:rsid w:val="00D21F3E"/>
    <w:rsid w:val="00D23AA7"/>
    <w:rsid w:val="00D2651A"/>
    <w:rsid w:val="00D27EAF"/>
    <w:rsid w:val="00D30745"/>
    <w:rsid w:val="00D3229F"/>
    <w:rsid w:val="00D3233E"/>
    <w:rsid w:val="00D33167"/>
    <w:rsid w:val="00D35D9C"/>
    <w:rsid w:val="00D37F22"/>
    <w:rsid w:val="00D40481"/>
    <w:rsid w:val="00D43A88"/>
    <w:rsid w:val="00D44588"/>
    <w:rsid w:val="00D4491D"/>
    <w:rsid w:val="00D44A05"/>
    <w:rsid w:val="00D4553D"/>
    <w:rsid w:val="00D45ECD"/>
    <w:rsid w:val="00D46C32"/>
    <w:rsid w:val="00D50A8A"/>
    <w:rsid w:val="00D51D67"/>
    <w:rsid w:val="00D60A11"/>
    <w:rsid w:val="00D61736"/>
    <w:rsid w:val="00D61A0E"/>
    <w:rsid w:val="00D61D30"/>
    <w:rsid w:val="00D66A1F"/>
    <w:rsid w:val="00D70266"/>
    <w:rsid w:val="00D72417"/>
    <w:rsid w:val="00D73CD1"/>
    <w:rsid w:val="00D76141"/>
    <w:rsid w:val="00D77220"/>
    <w:rsid w:val="00D774E7"/>
    <w:rsid w:val="00D80E8D"/>
    <w:rsid w:val="00D847AE"/>
    <w:rsid w:val="00D8631F"/>
    <w:rsid w:val="00D86FAB"/>
    <w:rsid w:val="00D917C9"/>
    <w:rsid w:val="00D92757"/>
    <w:rsid w:val="00D92C8F"/>
    <w:rsid w:val="00D932B9"/>
    <w:rsid w:val="00D96BC1"/>
    <w:rsid w:val="00D971D8"/>
    <w:rsid w:val="00D976BE"/>
    <w:rsid w:val="00DA08F0"/>
    <w:rsid w:val="00DA08F5"/>
    <w:rsid w:val="00DA221C"/>
    <w:rsid w:val="00DA2A08"/>
    <w:rsid w:val="00DA4CC0"/>
    <w:rsid w:val="00DA5CFC"/>
    <w:rsid w:val="00DA64E4"/>
    <w:rsid w:val="00DB3E55"/>
    <w:rsid w:val="00DB6A7D"/>
    <w:rsid w:val="00DB6C39"/>
    <w:rsid w:val="00DC0378"/>
    <w:rsid w:val="00DC2E85"/>
    <w:rsid w:val="00DC3A42"/>
    <w:rsid w:val="00DC4522"/>
    <w:rsid w:val="00DC69C6"/>
    <w:rsid w:val="00DD3F2D"/>
    <w:rsid w:val="00DD57C8"/>
    <w:rsid w:val="00DD7028"/>
    <w:rsid w:val="00DE2450"/>
    <w:rsid w:val="00DE2AD3"/>
    <w:rsid w:val="00DE3BC7"/>
    <w:rsid w:val="00DF1CC5"/>
    <w:rsid w:val="00DF2DDE"/>
    <w:rsid w:val="00E047A6"/>
    <w:rsid w:val="00E04A48"/>
    <w:rsid w:val="00E06B3A"/>
    <w:rsid w:val="00E146C9"/>
    <w:rsid w:val="00E159A7"/>
    <w:rsid w:val="00E15D4E"/>
    <w:rsid w:val="00E206AB"/>
    <w:rsid w:val="00E20E74"/>
    <w:rsid w:val="00E26A56"/>
    <w:rsid w:val="00E26EA3"/>
    <w:rsid w:val="00E271D8"/>
    <w:rsid w:val="00E3441A"/>
    <w:rsid w:val="00E354C2"/>
    <w:rsid w:val="00E37730"/>
    <w:rsid w:val="00E41C89"/>
    <w:rsid w:val="00E44D36"/>
    <w:rsid w:val="00E45887"/>
    <w:rsid w:val="00E45C5E"/>
    <w:rsid w:val="00E474D7"/>
    <w:rsid w:val="00E507C4"/>
    <w:rsid w:val="00E52D30"/>
    <w:rsid w:val="00E56D8C"/>
    <w:rsid w:val="00E56ED2"/>
    <w:rsid w:val="00E62218"/>
    <w:rsid w:val="00E65B16"/>
    <w:rsid w:val="00E668AC"/>
    <w:rsid w:val="00E70172"/>
    <w:rsid w:val="00E71BFE"/>
    <w:rsid w:val="00E81FB4"/>
    <w:rsid w:val="00E826FD"/>
    <w:rsid w:val="00E85B74"/>
    <w:rsid w:val="00E8682A"/>
    <w:rsid w:val="00E86EE8"/>
    <w:rsid w:val="00E90B97"/>
    <w:rsid w:val="00E945AB"/>
    <w:rsid w:val="00E94892"/>
    <w:rsid w:val="00E95B98"/>
    <w:rsid w:val="00E966F5"/>
    <w:rsid w:val="00E97118"/>
    <w:rsid w:val="00EA0A3D"/>
    <w:rsid w:val="00EA0C26"/>
    <w:rsid w:val="00EA4E63"/>
    <w:rsid w:val="00EA5B37"/>
    <w:rsid w:val="00EA64A9"/>
    <w:rsid w:val="00EB350E"/>
    <w:rsid w:val="00EB3C50"/>
    <w:rsid w:val="00EB49A0"/>
    <w:rsid w:val="00EB4A47"/>
    <w:rsid w:val="00EB564B"/>
    <w:rsid w:val="00EB607E"/>
    <w:rsid w:val="00EB7101"/>
    <w:rsid w:val="00EB7BB6"/>
    <w:rsid w:val="00EC087E"/>
    <w:rsid w:val="00EC25B1"/>
    <w:rsid w:val="00EC5743"/>
    <w:rsid w:val="00ED1BB8"/>
    <w:rsid w:val="00ED43A0"/>
    <w:rsid w:val="00ED45D0"/>
    <w:rsid w:val="00ED5CB2"/>
    <w:rsid w:val="00ED7C6F"/>
    <w:rsid w:val="00EE0195"/>
    <w:rsid w:val="00EE0389"/>
    <w:rsid w:val="00EE13DF"/>
    <w:rsid w:val="00EE1EC1"/>
    <w:rsid w:val="00EE5B81"/>
    <w:rsid w:val="00EF05CA"/>
    <w:rsid w:val="00EF0C67"/>
    <w:rsid w:val="00EF20ED"/>
    <w:rsid w:val="00EF2A94"/>
    <w:rsid w:val="00EF2C2A"/>
    <w:rsid w:val="00EF3316"/>
    <w:rsid w:val="00EF3B45"/>
    <w:rsid w:val="00EF4336"/>
    <w:rsid w:val="00EF789A"/>
    <w:rsid w:val="00F035CE"/>
    <w:rsid w:val="00F11377"/>
    <w:rsid w:val="00F15C29"/>
    <w:rsid w:val="00F168AF"/>
    <w:rsid w:val="00F17CB5"/>
    <w:rsid w:val="00F21E15"/>
    <w:rsid w:val="00F23542"/>
    <w:rsid w:val="00F27017"/>
    <w:rsid w:val="00F27122"/>
    <w:rsid w:val="00F27F4E"/>
    <w:rsid w:val="00F30D00"/>
    <w:rsid w:val="00F34F7B"/>
    <w:rsid w:val="00F3712C"/>
    <w:rsid w:val="00F4328F"/>
    <w:rsid w:val="00F43E7D"/>
    <w:rsid w:val="00F44968"/>
    <w:rsid w:val="00F51D8E"/>
    <w:rsid w:val="00F532EE"/>
    <w:rsid w:val="00F5484C"/>
    <w:rsid w:val="00F54B24"/>
    <w:rsid w:val="00F5575C"/>
    <w:rsid w:val="00F55AC2"/>
    <w:rsid w:val="00F55B3E"/>
    <w:rsid w:val="00F56BA9"/>
    <w:rsid w:val="00F6091D"/>
    <w:rsid w:val="00F621D6"/>
    <w:rsid w:val="00F624A6"/>
    <w:rsid w:val="00F62C14"/>
    <w:rsid w:val="00F64759"/>
    <w:rsid w:val="00F72657"/>
    <w:rsid w:val="00F73971"/>
    <w:rsid w:val="00F756A6"/>
    <w:rsid w:val="00F82116"/>
    <w:rsid w:val="00F869EE"/>
    <w:rsid w:val="00F87277"/>
    <w:rsid w:val="00F92BF9"/>
    <w:rsid w:val="00F9512C"/>
    <w:rsid w:val="00F95D26"/>
    <w:rsid w:val="00F96E43"/>
    <w:rsid w:val="00FA1504"/>
    <w:rsid w:val="00FA2795"/>
    <w:rsid w:val="00FA369F"/>
    <w:rsid w:val="00FA3CAE"/>
    <w:rsid w:val="00FA6A5A"/>
    <w:rsid w:val="00FA7438"/>
    <w:rsid w:val="00FB1B36"/>
    <w:rsid w:val="00FC12F0"/>
    <w:rsid w:val="00FC35EE"/>
    <w:rsid w:val="00FC5312"/>
    <w:rsid w:val="00FD3386"/>
    <w:rsid w:val="00FD5F1D"/>
    <w:rsid w:val="00FD72D4"/>
    <w:rsid w:val="00FE09F9"/>
    <w:rsid w:val="00FE0A41"/>
    <w:rsid w:val="00FE2F7E"/>
    <w:rsid w:val="00FE3CAC"/>
    <w:rsid w:val="00FE5F11"/>
    <w:rsid w:val="00FE67DF"/>
    <w:rsid w:val="00FE7A81"/>
    <w:rsid w:val="00FE7BD5"/>
    <w:rsid w:val="00FF07F0"/>
    <w:rsid w:val="00FF0BD0"/>
    <w:rsid w:val="00FF2763"/>
    <w:rsid w:val="00FF2B69"/>
    <w:rsid w:val="00FF49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917"/>
  </w:style>
  <w:style w:type="paragraph" w:styleId="Heading1">
    <w:name w:val="heading 1"/>
    <w:basedOn w:val="Normal"/>
    <w:next w:val="Normal"/>
    <w:link w:val="Heading1Char"/>
    <w:uiPriority w:val="9"/>
    <w:qFormat/>
    <w:rsid w:val="001411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1153"/>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41153"/>
    <w:pPr>
      <w:ind w:left="720"/>
      <w:contextualSpacing/>
    </w:pPr>
  </w:style>
  <w:style w:type="paragraph" w:styleId="Subtitle">
    <w:name w:val="Subtitle"/>
    <w:basedOn w:val="Normal"/>
    <w:next w:val="Normal"/>
    <w:link w:val="SubtitleChar"/>
    <w:uiPriority w:val="11"/>
    <w:qFormat/>
    <w:rsid w:val="0043491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3491D"/>
    <w:rPr>
      <w:rFonts w:asciiTheme="majorHAnsi" w:eastAsiaTheme="majorEastAsia" w:hAnsiTheme="majorHAnsi" w:cstheme="majorBidi"/>
      <w:i/>
      <w:iCs/>
      <w:color w:val="4F81BD" w:themeColor="accent1"/>
      <w:spacing w:val="15"/>
      <w:sz w:val="24"/>
      <w:szCs w:val="24"/>
    </w:rPr>
  </w:style>
  <w:style w:type="paragraph" w:styleId="BalloonText">
    <w:name w:val="Balloon Text"/>
    <w:basedOn w:val="Normal"/>
    <w:link w:val="BalloonTextChar"/>
    <w:uiPriority w:val="99"/>
    <w:semiHidden/>
    <w:unhideWhenUsed/>
    <w:rsid w:val="004349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91D"/>
    <w:rPr>
      <w:rFonts w:ascii="Tahoma" w:hAnsi="Tahoma" w:cs="Tahoma"/>
      <w:sz w:val="16"/>
      <w:szCs w:val="16"/>
    </w:rPr>
  </w:style>
  <w:style w:type="table" w:styleId="TableGrid">
    <w:name w:val="Table Grid"/>
    <w:basedOn w:val="TableNormal"/>
    <w:uiPriority w:val="59"/>
    <w:rsid w:val="003019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74EA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4EA8"/>
  </w:style>
  <w:style w:type="paragraph" w:styleId="Footer">
    <w:name w:val="footer"/>
    <w:basedOn w:val="Normal"/>
    <w:link w:val="FooterChar"/>
    <w:uiPriority w:val="99"/>
    <w:unhideWhenUsed/>
    <w:rsid w:val="00874E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EA8"/>
  </w:style>
</w:styles>
</file>

<file path=word/webSettings.xml><?xml version="1.0" encoding="utf-8"?>
<w:webSettings xmlns:r="http://schemas.openxmlformats.org/officeDocument/2006/relationships" xmlns:w="http://schemas.openxmlformats.org/wordprocessingml/2006/main">
  <w:divs>
    <w:div w:id="165841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3</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Die</dc:creator>
  <cp:lastModifiedBy>David Die</cp:lastModifiedBy>
  <cp:revision>6</cp:revision>
  <dcterms:created xsi:type="dcterms:W3CDTF">2009-04-29T15:38:00Z</dcterms:created>
  <dcterms:modified xsi:type="dcterms:W3CDTF">2009-04-29T22:39:00Z</dcterms:modified>
</cp:coreProperties>
</file>